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9A2A44">
      <w:pPr>
        <w:autoSpaceDE w:val="0"/>
        <w:autoSpaceDN w:val="0"/>
        <w:adjustRightInd w:val="0"/>
        <w:jc w:val="center"/>
        <w:rPr>
          <w:rFonts w:ascii="Times New Roman" w:eastAsia="方正小标宋简体" w:hAnsi="Times New Roman" w:cs="方正小标宋简体"/>
          <w:kern w:val="0"/>
          <w:sz w:val="48"/>
          <w:szCs w:val="48"/>
          <w:lang w:val="zh-CN"/>
        </w:rPr>
      </w:pPr>
    </w:p>
    <w:p w:rsidR="009A2A44" w:rsidRDefault="00B436E6">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天津百利机械装备集团有限公司（本级）</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9A2A44" w:rsidRDefault="009A2A44">
      <w:pPr>
        <w:autoSpaceDE w:val="0"/>
        <w:autoSpaceDN w:val="0"/>
        <w:adjustRightInd w:val="0"/>
        <w:spacing w:line="580" w:lineRule="exact"/>
        <w:jc w:val="center"/>
        <w:rPr>
          <w:rFonts w:ascii="Times New Roman" w:eastAsia="黑体" w:hAnsi="Times New Roman" w:cs="黑体"/>
          <w:sz w:val="30"/>
          <w:szCs w:val="30"/>
        </w:rPr>
      </w:pPr>
    </w:p>
    <w:p w:rsidR="009A2A44" w:rsidRDefault="009A2A44">
      <w:pPr>
        <w:autoSpaceDE w:val="0"/>
        <w:autoSpaceDN w:val="0"/>
        <w:adjustRightInd w:val="0"/>
        <w:spacing w:line="580" w:lineRule="exact"/>
        <w:jc w:val="center"/>
        <w:rPr>
          <w:rFonts w:ascii="Times New Roman" w:eastAsia="黑体" w:hAnsi="Times New Roman" w:cs="黑体"/>
          <w:sz w:val="30"/>
          <w:szCs w:val="30"/>
        </w:rPr>
      </w:pPr>
    </w:p>
    <w:p w:rsidR="009A2A44" w:rsidRDefault="009A2A44">
      <w:pPr>
        <w:autoSpaceDE w:val="0"/>
        <w:autoSpaceDN w:val="0"/>
        <w:adjustRightInd w:val="0"/>
        <w:spacing w:line="580" w:lineRule="exact"/>
        <w:jc w:val="center"/>
        <w:rPr>
          <w:rFonts w:ascii="Times New Roman" w:eastAsia="黑体" w:hAnsi="Times New Roman" w:cs="黑体"/>
          <w:sz w:val="30"/>
          <w:szCs w:val="30"/>
        </w:rPr>
      </w:pPr>
    </w:p>
    <w:p w:rsidR="009A2A44" w:rsidRDefault="009A2A44">
      <w:pPr>
        <w:autoSpaceDE w:val="0"/>
        <w:autoSpaceDN w:val="0"/>
        <w:adjustRightInd w:val="0"/>
        <w:spacing w:line="580" w:lineRule="exact"/>
        <w:jc w:val="center"/>
        <w:rPr>
          <w:rFonts w:ascii="Times New Roman" w:eastAsia="黑体" w:hAnsi="Times New Roman" w:cs="黑体"/>
          <w:sz w:val="30"/>
          <w:szCs w:val="30"/>
        </w:rPr>
      </w:pPr>
    </w:p>
    <w:p w:rsidR="009A2A44" w:rsidRDefault="009A2A44">
      <w:pPr>
        <w:autoSpaceDE w:val="0"/>
        <w:autoSpaceDN w:val="0"/>
        <w:adjustRightInd w:val="0"/>
        <w:spacing w:line="580" w:lineRule="exact"/>
        <w:jc w:val="center"/>
        <w:rPr>
          <w:rFonts w:ascii="Times New Roman" w:eastAsia="黑体" w:hAnsi="Times New Roman" w:cs="黑体"/>
          <w:sz w:val="30"/>
          <w:szCs w:val="30"/>
        </w:rPr>
      </w:pPr>
    </w:p>
    <w:p w:rsidR="009A2A44" w:rsidRDefault="00B436E6">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9A2A44" w:rsidRDefault="00B436E6">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9A2A44" w:rsidRDefault="009A2A44">
      <w:pPr>
        <w:autoSpaceDE w:val="0"/>
        <w:autoSpaceDN w:val="0"/>
        <w:adjustRightInd w:val="0"/>
        <w:spacing w:line="600" w:lineRule="exact"/>
        <w:jc w:val="left"/>
        <w:rPr>
          <w:rFonts w:ascii="Times New Roman" w:eastAsia="黑体" w:hAnsi="Times New Roman" w:cs="黑体"/>
          <w:kern w:val="0"/>
          <w:sz w:val="30"/>
          <w:szCs w:val="30"/>
        </w:rPr>
      </w:pPr>
    </w:p>
    <w:p w:rsidR="009A2A44" w:rsidRDefault="00B436E6">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proofErr w:type="gramStart"/>
      <w:r>
        <w:rPr>
          <w:rFonts w:ascii="Times New Roman" w:eastAsia="方正小标宋简体" w:hAnsi="Times New Roman" w:cs="方正小标宋简体" w:hint="eastAsia"/>
          <w:kern w:val="0"/>
          <w:sz w:val="30"/>
          <w:szCs w:val="30"/>
        </w:rPr>
        <w:t>况</w:t>
      </w:r>
      <w:proofErr w:type="gramEnd"/>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9A2A44" w:rsidRDefault="00B436E6">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9A2A44" w:rsidRDefault="00B436E6">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9A2A44" w:rsidRDefault="00B436E6">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9A2A44" w:rsidRDefault="00B436E6">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9A2A44" w:rsidRDefault="00B436E6">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9A2A44" w:rsidRDefault="00B436E6">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proofErr w:type="gramStart"/>
      <w:r>
        <w:rPr>
          <w:rFonts w:ascii="Times New Roman" w:eastAsia="方正小标宋简体" w:hAnsi="Times New Roman" w:cs="方正小标宋简体" w:hint="eastAsia"/>
          <w:kern w:val="44"/>
          <w:sz w:val="44"/>
          <w:szCs w:val="44"/>
        </w:rPr>
        <w:t>况</w:t>
      </w:r>
      <w:proofErr w:type="gramEnd"/>
    </w:p>
    <w:p w:rsidR="009A2A44" w:rsidRDefault="00B436E6">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天津百利机械装备集团有限公司（本级）（以下简称集团本部）负责百利装备集团本部预算、决算，拨付离退休人员的离退休费、抚恤金、医药费等工作。</w:t>
      </w:r>
    </w:p>
    <w:p w:rsidR="009A2A44" w:rsidRDefault="00B436E6">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天津百利机械装备集团有限公司（本级）内设</w:t>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t>个职能处室，上述职能由财务运行部代管；下辖</w:t>
      </w:r>
      <w:r>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个预算单位。纳入天津百利机械装备集团有限公司（本级）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、天津百利机械装备集团有限公司（本级）</w:t>
      </w:r>
    </w:p>
    <w:p w:rsidR="009A2A44" w:rsidRDefault="00B436E6">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9A2A44" w:rsidRDefault="00B436E6">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年度部门决算表</w:t>
      </w:r>
    </w:p>
    <w:p w:rsidR="009A2A44" w:rsidRDefault="009A2A44">
      <w:pPr>
        <w:autoSpaceDE w:val="0"/>
        <w:autoSpaceDN w:val="0"/>
        <w:adjustRightInd w:val="0"/>
        <w:spacing w:line="600" w:lineRule="exact"/>
        <w:jc w:val="left"/>
        <w:rPr>
          <w:rFonts w:ascii="Times New Roman" w:eastAsia="方正小标宋简体" w:hAnsi="Times New Roman" w:cs="Times New Roman"/>
          <w:kern w:val="0"/>
          <w:sz w:val="24"/>
          <w:szCs w:val="24"/>
        </w:rPr>
      </w:pP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9A2A44" w:rsidRDefault="00B436E6">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9A2A44" w:rsidRDefault="00B436E6">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9A2A44" w:rsidRDefault="00B436E6">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9A2A44" w:rsidRDefault="00B436E6">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r>
        <w:rPr>
          <w:rFonts w:ascii="Times New Roman" w:eastAsia="仿宋_GB2312" w:hAnsi="Times New Roman" w:cs="仿宋_GB2312" w:hint="eastAsia"/>
          <w:sz w:val="30"/>
          <w:szCs w:val="30"/>
        </w:rPr>
        <w:br/>
      </w:r>
      <w:r w:rsidR="00925373">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r>
        <w:rPr>
          <w:rFonts w:ascii="Times New Roman" w:eastAsia="仿宋_GB2312" w:hAnsi="Times New Roman" w:cs="仿宋_GB2312" w:hint="eastAsia"/>
          <w:sz w:val="30"/>
          <w:szCs w:val="30"/>
        </w:rPr>
        <w:br/>
      </w:r>
      <w:r w:rsidR="00925373">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p>
    <w:p w:rsidR="009A2A44" w:rsidRDefault="009A2A44">
      <w:pPr>
        <w:autoSpaceDE w:val="0"/>
        <w:autoSpaceDN w:val="0"/>
        <w:adjustRightInd w:val="0"/>
        <w:spacing w:line="600" w:lineRule="exact"/>
        <w:ind w:firstLine="601"/>
        <w:jc w:val="left"/>
        <w:rPr>
          <w:rFonts w:ascii="Times New Roman" w:eastAsia="仿宋_GB2312" w:hAnsi="Times New Roman" w:cs="仿宋_GB2312"/>
          <w:sz w:val="30"/>
          <w:szCs w:val="30"/>
        </w:rPr>
      </w:pPr>
    </w:p>
    <w:p w:rsidR="009A2A44" w:rsidRDefault="00B436E6">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年度部门决算情况说明</w:t>
      </w:r>
    </w:p>
    <w:p w:rsidR="009A2A44" w:rsidRDefault="009A2A44">
      <w:pPr>
        <w:autoSpaceDE w:val="0"/>
        <w:autoSpaceDN w:val="0"/>
        <w:adjustRightInd w:val="0"/>
        <w:spacing w:line="580" w:lineRule="exact"/>
        <w:ind w:firstLine="600"/>
        <w:jc w:val="left"/>
        <w:rPr>
          <w:rFonts w:ascii="Times New Roman" w:eastAsia="黑体" w:hAnsi="Times New Roman" w:cs="黑体"/>
          <w:sz w:val="30"/>
          <w:szCs w:val="30"/>
          <w:lang w:val="zh-CN"/>
        </w:rPr>
      </w:pP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天津百利机械装备集团有限公司（本级）</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13,484,792.00</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年度相比，收、支总计各减少</w:t>
      </w:r>
      <w:r>
        <w:rPr>
          <w:rFonts w:ascii="Times New Roman" w:eastAsia="仿宋_GB2312" w:hAnsi="Times New Roman" w:cs="仿宋_GB2312" w:hint="eastAsia"/>
          <w:sz w:val="30"/>
          <w:szCs w:val="30"/>
        </w:rPr>
        <w:t>2,496,316.65</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15.62%</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：离退休人员医药费减少。</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9A2A44" w:rsidRDefault="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13,484,792.00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ascii="Times New Roman" w:eastAsia="仿宋_GB2312" w:hAnsi="Times New Roman" w:cs="仿宋_GB2312" w:hint="eastAsia"/>
          <w:sz w:val="30"/>
          <w:szCs w:val="30"/>
        </w:rPr>
        <w:t>减少</w:t>
      </w:r>
      <w:r>
        <w:rPr>
          <w:rFonts w:ascii="Times New Roman" w:eastAsia="仿宋_GB2312" w:hAnsi="Times New Roman" w:cs="仿宋_GB2312" w:hint="eastAsia"/>
          <w:sz w:val="30"/>
          <w:szCs w:val="30"/>
        </w:rPr>
        <w:t>2,496,316.65</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离退休人员医药费减少。</w:t>
      </w:r>
    </w:p>
    <w:p w:rsidR="009A2A44" w:rsidRDefault="00B436E6">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13,484,792.00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100.0</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9A2A44" w:rsidRDefault="00B436E6">
      <w:pPr>
        <w:autoSpaceDE w:val="0"/>
        <w:autoSpaceDN w:val="0"/>
        <w:adjustRightInd w:val="0"/>
        <w:spacing w:line="600" w:lineRule="exact"/>
        <w:ind w:firstLineChars="200"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lastRenderedPageBreak/>
        <w:t>政府性基金预算财政拨款收入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国有资本经营预算财政拨款收入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财政专户管理资金收入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事业单位经营收入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上级补助收入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eastAsia="仿宋_GB2312"/>
          <w:sz w:val="30"/>
          <w:szCs w:val="30"/>
        </w:rPr>
        <w:t>附属单位上缴收入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9A2A44" w:rsidRDefault="00B436E6">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13,484,792.00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ascii="Times New Roman" w:eastAsia="仿宋_GB2312" w:hAnsi="Times New Roman" w:cs="仿宋_GB2312" w:hint="eastAsia"/>
          <w:sz w:val="30"/>
          <w:szCs w:val="30"/>
        </w:rPr>
        <w:t>减少</w:t>
      </w:r>
      <w:r>
        <w:rPr>
          <w:rFonts w:ascii="Times New Roman" w:eastAsia="仿宋_GB2312" w:hAnsi="Times New Roman" w:cs="仿宋_GB2312" w:hint="eastAsia"/>
          <w:sz w:val="30"/>
          <w:szCs w:val="30"/>
        </w:rPr>
        <w:t>2,496,316.65</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离退休人员医药费减少。</w:t>
      </w:r>
    </w:p>
    <w:p w:rsidR="009A2A44" w:rsidRDefault="00B436E6">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12,263,900.00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90.95</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w:t>
      </w:r>
    </w:p>
    <w:p w:rsidR="009A2A44" w:rsidRDefault="00B436E6">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1,220,892.00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9.05%</w:t>
      </w:r>
      <w:r>
        <w:rPr>
          <w:rFonts w:ascii="Times New Roman" w:eastAsia="仿宋_GB2312" w:hAnsi="Times New Roman" w:cs="仿宋_GB2312" w:hint="eastAsia"/>
          <w:sz w:val="30"/>
          <w:szCs w:val="30"/>
        </w:rPr>
        <w:t>；</w:t>
      </w:r>
    </w:p>
    <w:p w:rsidR="009A2A44" w:rsidRDefault="00B436E6">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上缴上级支出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9A2A44" w:rsidRDefault="00B436E6">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9A2A44" w:rsidRDefault="00B436E6">
      <w:pPr>
        <w:autoSpaceDE w:val="0"/>
        <w:autoSpaceDN w:val="0"/>
        <w:adjustRightInd w:val="0"/>
        <w:spacing w:line="580" w:lineRule="exact"/>
        <w:ind w:firstLine="600"/>
        <w:jc w:val="left"/>
        <w:rPr>
          <w:rFonts w:ascii="Times New Roman" w:eastAsia="黑体" w:hAnsi="Times New Roman" w:cs="黑体"/>
          <w:sz w:val="30"/>
          <w:szCs w:val="30"/>
          <w:lang w:val="zh-CN"/>
        </w:rPr>
      </w:pPr>
      <w:r>
        <w:rPr>
          <w:rFonts w:ascii="Times New Roman" w:eastAsia="仿宋_GB2312" w:hAnsi="Times New Roman" w:cs="仿宋_GB2312"/>
          <w:sz w:val="30"/>
          <w:szCs w:val="30"/>
        </w:rPr>
        <w:t>对附属单位补助支出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9A2A44" w:rsidRDefault="00B436E6">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13,484,792.00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w:t>
      </w:r>
      <w:r>
        <w:rPr>
          <w:rFonts w:ascii="Times New Roman" w:eastAsia="仿宋_GB2312" w:hAnsi="Times New Roman" w:cs="仿宋_GB2312" w:hint="eastAsia"/>
          <w:sz w:val="30"/>
          <w:szCs w:val="30"/>
        </w:rPr>
        <w:t>减少</w:t>
      </w:r>
      <w:r>
        <w:rPr>
          <w:rFonts w:ascii="Times New Roman" w:eastAsia="仿宋_GB2312" w:hAnsi="Times New Roman" w:cs="仿宋_GB2312" w:hint="eastAsia"/>
          <w:sz w:val="30"/>
          <w:szCs w:val="30"/>
        </w:rPr>
        <w:t>2,496,316.65</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下降</w:t>
      </w:r>
      <w:r>
        <w:rPr>
          <w:rFonts w:ascii="Times New Roman" w:eastAsia="仿宋_GB2312" w:hAnsi="Times New Roman" w:cs="仿宋_GB2312" w:hint="eastAsia"/>
          <w:sz w:val="30"/>
          <w:szCs w:val="30"/>
        </w:rPr>
        <w:t>15.62</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财政拨款离退休人员医药费减少。</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lastRenderedPageBreak/>
        <w:t>五、一般公共预算财政拨款支出决算情况说明</w:t>
      </w:r>
    </w:p>
    <w:p w:rsidR="009A2A44" w:rsidRDefault="00B436E6">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9A2A44" w:rsidRDefault="00B436E6">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13,484,792.00</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100.0%</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w:t>
      </w:r>
      <w:r>
        <w:rPr>
          <w:rFonts w:ascii="Times New Roman" w:eastAsia="仿宋_GB2312" w:hAnsi="Times New Roman" w:cs="仿宋_GB2312" w:hint="eastAsia"/>
          <w:sz w:val="30"/>
          <w:szCs w:val="30"/>
        </w:rPr>
        <w:t>减少</w:t>
      </w:r>
      <w:r>
        <w:rPr>
          <w:rFonts w:ascii="Times New Roman" w:eastAsia="仿宋_GB2312" w:hAnsi="Times New Roman" w:cs="仿宋_GB2312" w:hint="eastAsia"/>
          <w:sz w:val="30"/>
          <w:szCs w:val="30"/>
        </w:rPr>
        <w:t>2,496,316.65</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下降</w:t>
      </w:r>
      <w:r>
        <w:rPr>
          <w:rFonts w:ascii="Times New Roman" w:eastAsia="仿宋_GB2312" w:hAnsi="Times New Roman" w:cs="仿宋_GB2312" w:hint="eastAsia"/>
          <w:sz w:val="30"/>
          <w:szCs w:val="30"/>
        </w:rPr>
        <w:t>15.62%</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：财政拨款离退休人员医药费减少。</w:t>
      </w:r>
    </w:p>
    <w:p w:rsidR="009A2A44" w:rsidRDefault="00B436E6">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9A2A44" w:rsidRDefault="00B436E6">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13,484,792.00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社会保障和就业支出（类）</w:t>
      </w:r>
      <w:r>
        <w:rPr>
          <w:rFonts w:ascii="Times New Roman" w:eastAsia="仿宋_GB2312" w:hAnsi="Times New Roman" w:cs="仿宋_GB2312" w:hint="eastAsia"/>
          <w:sz w:val="30"/>
          <w:szCs w:val="30"/>
        </w:rPr>
        <w:t>3632892</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26.94%</w:t>
      </w:r>
      <w:r>
        <w:rPr>
          <w:rFonts w:ascii="Times New Roman" w:eastAsia="仿宋_GB2312" w:hAnsi="Times New Roman" w:cs="仿宋_GB2312" w:hint="eastAsia"/>
          <w:sz w:val="30"/>
          <w:szCs w:val="30"/>
        </w:rPr>
        <w:t>，卫生健康支出（类）</w:t>
      </w:r>
      <w:r>
        <w:rPr>
          <w:rFonts w:ascii="Times New Roman" w:eastAsia="仿宋_GB2312" w:hAnsi="Times New Roman" w:cs="仿宋_GB2312" w:hint="eastAsia"/>
          <w:sz w:val="30"/>
          <w:szCs w:val="30"/>
        </w:rPr>
        <w:t>9851900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73.06%</w:t>
      </w:r>
    </w:p>
    <w:p w:rsidR="009A2A44" w:rsidRDefault="00B436E6">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9A2A44" w:rsidRDefault="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3,000,000.00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13,484,792.00</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449.49%</w:t>
      </w:r>
      <w:r>
        <w:rPr>
          <w:rFonts w:ascii="Times New Roman" w:eastAsia="仿宋_GB2312" w:hAnsi="Times New Roman" w:cs="仿宋_GB2312" w:hint="eastAsia"/>
          <w:kern w:val="0"/>
          <w:sz w:val="30"/>
          <w:szCs w:val="30"/>
        </w:rPr>
        <w:t>。其中：</w:t>
      </w:r>
    </w:p>
    <w:p w:rsidR="009A2A44" w:rsidRDefault="00B436E6">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 xml:space="preserve">1. </w:t>
      </w:r>
      <w:r>
        <w:rPr>
          <w:rFonts w:ascii="Times New Roman" w:eastAsia="仿宋_GB2312" w:hAnsi="Times New Roman" w:cs="仿宋_GB2312" w:hint="eastAsia"/>
          <w:sz w:val="30"/>
          <w:szCs w:val="30"/>
        </w:rPr>
        <w:t>社会保障和就业支出（类）行政事业单位养老支出（款）行政单位离退休（项）年初预算为</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2760000.00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3632892.00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131.63%</w:t>
      </w:r>
      <w:r>
        <w:rPr>
          <w:rFonts w:ascii="Times New Roman" w:eastAsia="仿宋_GB2312" w:hAnsi="Times New Roman" w:cs="仿宋_GB2312" w:hint="eastAsia"/>
          <w:sz w:val="30"/>
          <w:szCs w:val="30"/>
        </w:rPr>
        <w:t>，决算数大于年初预算数的主要原因是财政拨款增加离退休人员费用。</w:t>
      </w:r>
      <w:r>
        <w:rPr>
          <w:rFonts w:ascii="Times New Roman" w:eastAsia="仿宋_GB2312" w:hAnsi="Times New Roman" w:cs="仿宋_GB2312" w:hint="eastAsia"/>
          <w:sz w:val="30"/>
          <w:szCs w:val="30"/>
        </w:rPr>
        <w:br/>
      </w:r>
      <w:r>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 xml:space="preserve">2. </w:t>
      </w:r>
      <w:r>
        <w:rPr>
          <w:rFonts w:ascii="Times New Roman" w:eastAsia="仿宋_GB2312" w:hAnsi="Times New Roman" w:cs="仿宋_GB2312" w:hint="eastAsia"/>
          <w:sz w:val="30"/>
          <w:szCs w:val="30"/>
        </w:rPr>
        <w:t>卫生健康支出（类）行政事业单位医疗（款）行政单位医疗（项）年初预算为</w:t>
      </w:r>
      <w:r>
        <w:rPr>
          <w:rFonts w:ascii="Times New Roman" w:eastAsia="仿宋_GB2312" w:hAnsi="Times New Roman" w:cs="仿宋_GB2312" w:hint="eastAsia"/>
          <w:sz w:val="30"/>
          <w:szCs w:val="30"/>
        </w:rPr>
        <w:t>240000.00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1049300.00</w:t>
      </w:r>
      <w:r>
        <w:rPr>
          <w:rFonts w:ascii="Times New Roman" w:eastAsia="仿宋_GB2312" w:hAnsi="Times New Roman" w:cs="仿宋_GB2312" w:hint="eastAsia"/>
          <w:sz w:val="30"/>
          <w:szCs w:val="30"/>
        </w:rPr>
        <w:t>元，完</w:t>
      </w:r>
      <w:r>
        <w:rPr>
          <w:rFonts w:ascii="Times New Roman" w:eastAsia="仿宋_GB2312" w:hAnsi="Times New Roman" w:cs="仿宋_GB2312" w:hint="eastAsia"/>
          <w:sz w:val="30"/>
          <w:szCs w:val="30"/>
        </w:rPr>
        <w:lastRenderedPageBreak/>
        <w:t>成年初预算的</w:t>
      </w:r>
      <w:r>
        <w:rPr>
          <w:rFonts w:ascii="Times New Roman" w:eastAsia="仿宋_GB2312" w:hAnsi="Times New Roman" w:cs="仿宋_GB2312" w:hint="eastAsia"/>
          <w:sz w:val="30"/>
          <w:szCs w:val="30"/>
        </w:rPr>
        <w:t>437.21%</w:t>
      </w:r>
      <w:r>
        <w:rPr>
          <w:rFonts w:ascii="Times New Roman" w:eastAsia="仿宋_GB2312" w:hAnsi="Times New Roman" w:cs="仿宋_GB2312" w:hint="eastAsia"/>
          <w:sz w:val="30"/>
          <w:szCs w:val="30"/>
        </w:rPr>
        <w:t>，决算数大于年初预算数的主要原因是财政拨款增加离退休人员医药费。</w:t>
      </w:r>
      <w:r>
        <w:rPr>
          <w:rFonts w:ascii="Times New Roman" w:eastAsia="仿宋_GB2312" w:hAnsi="Times New Roman" w:cs="仿宋_GB2312" w:hint="eastAsia"/>
          <w:sz w:val="30"/>
          <w:szCs w:val="30"/>
        </w:rPr>
        <w:br/>
      </w:r>
      <w:r>
        <w:rPr>
          <w:rFonts w:ascii="Times New Roman" w:eastAsia="仿宋_GB2312" w:hAnsi="Times New Roman" w:cs="仿宋_GB2312"/>
          <w:sz w:val="30"/>
          <w:szCs w:val="30"/>
        </w:rPr>
        <w:t xml:space="preserve">    </w:t>
      </w:r>
      <w:bookmarkStart w:id="0" w:name="_GoBack"/>
      <w:bookmarkEnd w:id="0"/>
      <w:r>
        <w:rPr>
          <w:rFonts w:ascii="Times New Roman" w:eastAsia="仿宋_GB2312" w:hAnsi="Times New Roman" w:cs="仿宋_GB2312" w:hint="eastAsia"/>
          <w:sz w:val="30"/>
          <w:szCs w:val="30"/>
        </w:rPr>
        <w:t xml:space="preserve">3. </w:t>
      </w:r>
      <w:r>
        <w:rPr>
          <w:rFonts w:ascii="Times New Roman" w:eastAsia="仿宋_GB2312" w:hAnsi="Times New Roman" w:cs="仿宋_GB2312" w:hint="eastAsia"/>
          <w:sz w:val="30"/>
          <w:szCs w:val="30"/>
        </w:rPr>
        <w:t>卫生健康支出（类）行政事业单位医疗（款）事业单位医疗支出（项）年初预算为</w:t>
      </w:r>
      <w:r>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8802600.00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，决算数大于年初预算数的主要原因是财政拨款增加离退休人员医药费。</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9A2A44" w:rsidRDefault="00B436E6">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12,263,900.00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ascii="Times New Roman" w:eastAsia="仿宋_GB2312" w:hAnsi="Times New Roman" w:cs="仿宋_GB2312" w:hint="eastAsia"/>
          <w:sz w:val="30"/>
          <w:szCs w:val="30"/>
        </w:rPr>
        <w:t>减少</w:t>
      </w:r>
      <w:r>
        <w:rPr>
          <w:rFonts w:ascii="Times New Roman" w:eastAsia="仿宋_GB2312" w:hAnsi="Times New Roman" w:cs="仿宋_GB2312" w:hint="eastAsia"/>
          <w:sz w:val="30"/>
          <w:szCs w:val="30"/>
        </w:rPr>
        <w:t>3,717,208.65</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离退休人员减少。</w:t>
      </w:r>
      <w:r>
        <w:rPr>
          <w:rFonts w:ascii="Times New Roman" w:eastAsia="仿宋_GB2312" w:hAnsi="Times New Roman" w:cs="仿宋_GB2312" w:hint="eastAsia"/>
          <w:kern w:val="0"/>
          <w:sz w:val="30"/>
          <w:szCs w:val="30"/>
        </w:rPr>
        <w:t>其中：</w:t>
      </w:r>
    </w:p>
    <w:p w:rsidR="009A2A44" w:rsidRDefault="00B436E6">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12,227,900.00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基本工资、津贴补贴、奖金、住房公积金、离休费、退休费。</w:t>
      </w:r>
    </w:p>
    <w:p w:rsidR="009A2A44" w:rsidRDefault="00B436E6">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36,000.00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其他商品和服务。</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B213AF" w:rsidRDefault="00B436E6" w:rsidP="00B213AF">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天津百利机械装备集团有限公司（本级）</w:t>
      </w:r>
      <w:r w:rsidR="00B213AF">
        <w:rPr>
          <w:rFonts w:ascii="Times New Roman" w:eastAsia="仿宋_GB2312" w:hAnsi="Times New Roman" w:cs="仿宋_GB2312" w:hint="eastAsia"/>
          <w:sz w:val="30"/>
          <w:szCs w:val="30"/>
        </w:rPr>
        <w:t>2023</w:t>
      </w:r>
      <w:r w:rsidR="00B213AF">
        <w:rPr>
          <w:rFonts w:ascii="Times New Roman" w:eastAsia="仿宋_GB2312" w:hAnsi="Times New Roman" w:cs="仿宋_GB2312" w:hint="eastAsia"/>
          <w:sz w:val="30"/>
          <w:szCs w:val="30"/>
        </w:rPr>
        <w:t>年度无政府性基金预算财政拨款收入、支出和结转结余。</w:t>
      </w:r>
      <w:r w:rsidR="00B213AF">
        <w:rPr>
          <w:rFonts w:ascii="Times New Roman" w:eastAsia="仿宋_GB2312" w:hAnsi="Times New Roman" w:cs="仿宋_GB2312" w:hint="eastAsia"/>
          <w:sz w:val="30"/>
          <w:szCs w:val="30"/>
        </w:rPr>
        <w:tab/>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B213AF" w:rsidRDefault="00B436E6" w:rsidP="00B213AF">
      <w:pPr>
        <w:keepNext/>
        <w:keepLines/>
        <w:autoSpaceDE w:val="0"/>
        <w:autoSpaceDN w:val="0"/>
        <w:adjustRightInd w:val="0"/>
        <w:spacing w:line="600" w:lineRule="exact"/>
        <w:ind w:firstLine="602"/>
        <w:jc w:val="left"/>
        <w:outlineLvl w:val="1"/>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w:t>
      </w:r>
      <w:r w:rsidR="00B213AF">
        <w:rPr>
          <w:rFonts w:ascii="Times New Roman" w:eastAsia="仿宋_GB2312" w:hAnsi="Times New Roman" w:cs="仿宋_GB2312" w:hint="eastAsia"/>
          <w:sz w:val="30"/>
          <w:szCs w:val="30"/>
        </w:rPr>
        <w:t>2023</w:t>
      </w:r>
      <w:r w:rsidR="00B213AF">
        <w:rPr>
          <w:rFonts w:ascii="Times New Roman" w:eastAsia="仿宋_GB2312" w:hAnsi="Times New Roman" w:cs="仿宋_GB2312" w:hint="eastAsia"/>
          <w:sz w:val="30"/>
          <w:szCs w:val="30"/>
        </w:rPr>
        <w:t>年度无国有资本经营预算财政拨款收入、支出和结转结余。</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B436E6" w:rsidRDefault="00B436E6" w:rsidP="00B436E6">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B436E6" w:rsidRDefault="00B436E6" w:rsidP="00B436E6">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lastRenderedPageBreak/>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。决算数等于预算数，且与</w:t>
      </w:r>
      <w:r>
        <w:rPr>
          <w:rFonts w:ascii="Times New Roman" w:eastAsia="仿宋_GB2312" w:hAnsi="Times New Roman" w:cs="仿宋_GB2312"/>
          <w:kern w:val="0"/>
          <w:sz w:val="30"/>
          <w:szCs w:val="30"/>
        </w:rPr>
        <w:t>上年</w:t>
      </w:r>
      <w:r>
        <w:rPr>
          <w:rFonts w:ascii="Times New Roman" w:eastAsia="仿宋_GB2312" w:hAnsi="Times New Roman" w:cs="仿宋_GB2312" w:hint="eastAsia"/>
          <w:kern w:val="0"/>
          <w:sz w:val="30"/>
          <w:szCs w:val="30"/>
        </w:rPr>
        <w:t>数持平主要原因是：</w:t>
      </w:r>
      <w:r>
        <w:rPr>
          <w:rFonts w:ascii="Times New Roman" w:eastAsia="仿宋_GB2312" w:hAnsi="Times New Roman" w:cs="仿宋_GB2312" w:hint="eastAsia"/>
          <w:sz w:val="30"/>
          <w:szCs w:val="30"/>
        </w:rPr>
        <w:t>本年度未用财政拨款经费列支“三公”经费</w:t>
      </w:r>
      <w:r>
        <w:rPr>
          <w:rFonts w:ascii="Times New Roman" w:eastAsia="仿宋_GB2312" w:hAnsi="Times New Roman" w:cs="仿宋_GB2312" w:hint="eastAsia"/>
          <w:kern w:val="0"/>
          <w:sz w:val="30"/>
          <w:szCs w:val="30"/>
        </w:rPr>
        <w:t>。</w:t>
      </w:r>
      <w:r>
        <w:rPr>
          <w:rFonts w:ascii="Times New Roman" w:eastAsia="仿宋_GB2312" w:hAnsi="Times New Roman" w:cs="Times New Roman"/>
          <w:kern w:val="0"/>
          <w:sz w:val="30"/>
          <w:szCs w:val="30"/>
        </w:rPr>
        <w:t xml:space="preserve"> </w:t>
      </w:r>
    </w:p>
    <w:p w:rsidR="00B436E6" w:rsidRDefault="00B436E6" w:rsidP="00B436E6">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B436E6" w:rsidRDefault="00B436E6" w:rsidP="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p>
    <w:p w:rsidR="00B436E6" w:rsidRDefault="00B436E6" w:rsidP="00B436E6">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B436E6" w:rsidRDefault="00B436E6" w:rsidP="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本年度未用财政拨款经费列支公务用车购置费及公务用车运行维护费。</w:t>
      </w:r>
      <w:r>
        <w:rPr>
          <w:rFonts w:ascii="Times New Roman" w:eastAsia="仿宋_GB2312" w:hAnsi="Times New Roman" w:cs="仿宋_GB2312" w:hint="eastAsia"/>
          <w:kern w:val="0"/>
          <w:sz w:val="30"/>
          <w:szCs w:val="30"/>
        </w:rPr>
        <w:t>其中：</w:t>
      </w:r>
    </w:p>
    <w:p w:rsidR="00B436E6" w:rsidRDefault="00B436E6" w:rsidP="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本年度未用财政拨款经费列支公务用车运行维护费。</w:t>
      </w:r>
    </w:p>
    <w:p w:rsidR="00B436E6" w:rsidRDefault="00B436E6" w:rsidP="00B436E6">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B436E6" w:rsidRDefault="00B436E6" w:rsidP="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w:t>
      </w:r>
    </w:p>
    <w:p w:rsidR="00B436E6" w:rsidRDefault="00B436E6" w:rsidP="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B436E6" w:rsidRDefault="00B436E6" w:rsidP="00B436E6">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lastRenderedPageBreak/>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本年度未用财政拨款经费列支公务接待费。</w:t>
      </w:r>
    </w:p>
    <w:p w:rsidR="00B436E6" w:rsidRDefault="00B436E6" w:rsidP="00B436E6">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proofErr w:type="gramStart"/>
      <w:r>
        <w:rPr>
          <w:rFonts w:ascii="Times New Roman" w:eastAsia="仿宋_GB2312" w:hAnsi="Times New Roman" w:cs="仿宋_GB2312" w:hint="eastAsia"/>
          <w:sz w:val="30"/>
          <w:szCs w:val="30"/>
        </w:rPr>
        <w:t>无机关</w:t>
      </w:r>
      <w:proofErr w:type="gramEnd"/>
      <w:r>
        <w:rPr>
          <w:rFonts w:ascii="Times New Roman" w:eastAsia="仿宋_GB2312" w:hAnsi="Times New Roman" w:cs="仿宋_GB2312" w:hint="eastAsia"/>
          <w:sz w:val="30"/>
          <w:szCs w:val="30"/>
        </w:rPr>
        <w:t>运行经费。</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9A2A44" w:rsidRDefault="00B436E6">
      <w:pPr>
        <w:autoSpaceDE w:val="0"/>
        <w:autoSpaceDN w:val="0"/>
        <w:adjustRightInd w:val="0"/>
        <w:spacing w:line="600" w:lineRule="exact"/>
        <w:ind w:firstLine="600"/>
        <w:jc w:val="left"/>
        <w:rPr>
          <w:rFonts w:ascii="Times New Roman" w:eastAsia="楷体" w:hAnsi="Times New Roman" w:cs="Times New Roman"/>
          <w:kern w:val="0"/>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年度无政府采购支出。</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9A2A44" w:rsidRDefault="00B436E6">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w:t>
      </w:r>
      <w:r>
        <w:rPr>
          <w:rFonts w:ascii="Times New Roman" w:eastAsia="仿宋_GB2312" w:hAnsi="Times New Roman" w:cs="仿宋_GB2312" w:hint="eastAsia"/>
          <w:color w:val="000000"/>
          <w:kern w:val="0"/>
          <w:sz w:val="30"/>
          <w:szCs w:val="30"/>
        </w:rPr>
        <w:t>天津百利机械装备集团有限公司（本级）</w:t>
      </w:r>
      <w:r>
        <w:rPr>
          <w:rFonts w:ascii="Times New Roman" w:eastAsia="仿宋_GB2312" w:hAnsi="Times New Roman" w:cs="仿宋_GB2312" w:hint="eastAsia"/>
          <w:color w:val="000000"/>
          <w:kern w:val="0"/>
          <w:sz w:val="30"/>
          <w:szCs w:val="30"/>
        </w:rPr>
        <w:t>共有车辆</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副部（省）级及以上领导用车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主要</w:t>
      </w:r>
      <w:r>
        <w:rPr>
          <w:rFonts w:ascii="Times New Roman" w:eastAsia="仿宋_GB2312" w:hAnsi="Times New Roman" w:cs="Times New Roman" w:hint="eastAsia"/>
          <w:kern w:val="0"/>
          <w:sz w:val="30"/>
          <w:szCs w:val="30"/>
        </w:rPr>
        <w:t>负责人</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机要通信用车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应急保障用车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执法执勤用车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特种专业技术用车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离退休干部</w:t>
      </w:r>
      <w:r>
        <w:rPr>
          <w:rFonts w:ascii="Times New Roman" w:eastAsia="仿宋_GB2312" w:hAnsi="Times New Roman" w:cs="Times New Roman" w:hint="eastAsia"/>
          <w:kern w:val="0"/>
          <w:sz w:val="30"/>
          <w:szCs w:val="30"/>
        </w:rPr>
        <w:t>服务</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无</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台（套）。</w:t>
      </w:r>
    </w:p>
    <w:p w:rsidR="009A2A44" w:rsidRDefault="00B436E6">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天津百利机械装备集团有限公司（本级）</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年度无国有资产占有使用情况。</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lastRenderedPageBreak/>
        <w:t>十三、</w:t>
      </w:r>
      <w:r>
        <w:rPr>
          <w:rFonts w:ascii="Times New Roman" w:eastAsia="黑体" w:hAnsi="Times New Roman" w:cs="黑体" w:hint="eastAsia"/>
          <w:b/>
          <w:bCs/>
          <w:kern w:val="0"/>
          <w:sz w:val="30"/>
          <w:szCs w:val="30"/>
        </w:rPr>
        <w:t>预算绩效情况说明</w:t>
      </w:r>
    </w:p>
    <w:p w:rsidR="009A2A44" w:rsidRDefault="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根据预算绩效管理要求，天津百利机械装备集团有限公司</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个市级项目开展绩效自评，涉及金额</w:t>
      </w:r>
      <w:r>
        <w:rPr>
          <w:rFonts w:ascii="Times New Roman" w:eastAsia="仿宋_GB2312" w:hAnsi="Times New Roman" w:cs="仿宋_GB2312" w:hint="eastAsia"/>
          <w:sz w:val="30"/>
          <w:szCs w:val="30"/>
        </w:rPr>
        <w:t>1220892</w:t>
      </w:r>
      <w:r>
        <w:rPr>
          <w:rFonts w:ascii="Times New Roman" w:eastAsia="仿宋_GB2312" w:hAnsi="Times New Roman" w:cs="仿宋_GB2312" w:hint="eastAsia"/>
          <w:sz w:val="30"/>
          <w:szCs w:val="30"/>
        </w:rPr>
        <w:t>元，自评结果已随部门决算一并公开；本部门</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年度未开展部门评价。</w:t>
      </w:r>
    </w:p>
    <w:p w:rsidR="009A2A44" w:rsidRDefault="00B436E6">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9A2A44" w:rsidRDefault="009A2A44">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9A2A44" w:rsidRDefault="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天津百利机械装备集团有限公司（本级）不属于乡、镇、</w:t>
      </w:r>
      <w:proofErr w:type="gramStart"/>
      <w:r>
        <w:rPr>
          <w:rFonts w:ascii="Times New Roman" w:eastAsia="仿宋_GB2312" w:hAnsi="Times New Roman" w:cs="仿宋_GB2312" w:hint="eastAsia"/>
          <w:sz w:val="30"/>
          <w:szCs w:val="30"/>
        </w:rPr>
        <w:t>街级单位</w:t>
      </w:r>
      <w:proofErr w:type="gramEnd"/>
      <w:r>
        <w:rPr>
          <w:rFonts w:ascii="Times New Roman" w:eastAsia="仿宋_GB2312" w:hAnsi="Times New Roman" w:cs="仿宋_GB2312" w:hint="eastAsia"/>
          <w:sz w:val="30"/>
          <w:szCs w:val="30"/>
        </w:rPr>
        <w:t>，不涉及公开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rsidR="009A2A44" w:rsidRDefault="00B436E6">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9A2A44" w:rsidRDefault="00B436E6">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9A2A44" w:rsidRDefault="009A2A44">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9A2A44" w:rsidRDefault="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9A2A44" w:rsidRDefault="00B436E6">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9A2A44" w:rsidRDefault="00B436E6">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w:t>
      </w:r>
      <w:r>
        <w:rPr>
          <w:rFonts w:ascii="Times New Roman" w:eastAsia="仿宋_GB2312" w:hAnsi="Times New Roman" w:cs="仿宋_GB2312" w:hint="eastAsia"/>
          <w:kern w:val="0"/>
          <w:sz w:val="30"/>
          <w:szCs w:val="30"/>
        </w:rPr>
        <w:t>公务用车购置及运行费和公务接待费。其中，因公出国（境）</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单位公务出国（境）的国际旅费、国外城市间交通费、住宿费、伙食费、培训费、公杂费等支出；公务用车购置及运行</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单位公务用车车辆购置支出（</w:t>
      </w:r>
      <w:proofErr w:type="gramStart"/>
      <w:r>
        <w:rPr>
          <w:rFonts w:ascii="Times New Roman" w:eastAsia="仿宋_GB2312" w:hAnsi="Times New Roman" w:cs="仿宋_GB2312" w:hint="eastAsia"/>
          <w:kern w:val="0"/>
          <w:sz w:val="30"/>
          <w:szCs w:val="30"/>
        </w:rPr>
        <w:t>含车辆</w:t>
      </w:r>
      <w:proofErr w:type="gramEnd"/>
      <w:r>
        <w:rPr>
          <w:rFonts w:ascii="Times New Roman" w:eastAsia="仿宋_GB2312" w:hAnsi="Times New Roman" w:cs="仿宋_GB2312" w:hint="eastAsia"/>
          <w:kern w:val="0"/>
          <w:sz w:val="30"/>
          <w:szCs w:val="30"/>
        </w:rPr>
        <w:t>购置税）及燃料费、维修费、过桥过路费、保险费、安全奖励费用等支出；公务接待</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单位按规定开支的各类公务接待（含外宾接待）支出。</w:t>
      </w:r>
    </w:p>
    <w:sectPr w:rsidR="009A2A4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25373"/>
    <w:rsid w:val="00941A30"/>
    <w:rsid w:val="00977DCC"/>
    <w:rsid w:val="009820CF"/>
    <w:rsid w:val="00982A8B"/>
    <w:rsid w:val="009A2A44"/>
    <w:rsid w:val="009A7ED3"/>
    <w:rsid w:val="009D74D7"/>
    <w:rsid w:val="00A57AE7"/>
    <w:rsid w:val="00AF71AE"/>
    <w:rsid w:val="00B213AF"/>
    <w:rsid w:val="00B33C70"/>
    <w:rsid w:val="00B436E6"/>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E829"/>
  <w15:docId w15:val="{D2D44C66-E9CD-418D-B83D-E08ED297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autoRedefine/>
    <w:uiPriority w:val="99"/>
    <w:qFormat/>
    <w:rPr>
      <w:rFonts w:ascii="方正小标宋简体" w:eastAsia="方正小标宋简体"/>
      <w:kern w:val="0"/>
      <w:sz w:val="24"/>
      <w:szCs w:val="24"/>
    </w:rPr>
  </w:style>
  <w:style w:type="character" w:customStyle="1" w:styleId="20">
    <w:name w:val="标题 2 字符"/>
    <w:basedOn w:val="a0"/>
    <w:link w:val="2"/>
    <w:autoRedefine/>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699</Words>
  <Characters>3986</Characters>
  <Application>Microsoft Office Word</Application>
  <DocSecurity>0</DocSecurity>
  <Lines>33</Lines>
  <Paragraphs>9</Paragraphs>
  <ScaleCrop>false</ScaleCrop>
  <Company>microsoft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CJ</cp:lastModifiedBy>
  <cp:revision>61</cp:revision>
  <dcterms:created xsi:type="dcterms:W3CDTF">2023-08-11T08:11:00Z</dcterms:created>
  <dcterms:modified xsi:type="dcterms:W3CDTF">2024-08-21T03:09:00Z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